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5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湖北省教育科学规划课题申报指南</w:t>
      </w:r>
    </w:p>
    <w:p>
      <w:pPr>
        <w:spacing w:line="500" w:lineRule="exact"/>
        <w:rPr>
          <w:rFonts w:ascii="仿宋_GB2312" w:eastAsia="仿宋_GB2312"/>
          <w:sz w:val="32"/>
          <w:szCs w:val="32"/>
        </w:rPr>
      </w:pP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1.湖北“十四五”教育目标任务研究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2.党的教育方针实施机制研究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3.中国特色社会主义教育制度优势研究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4.疫情防控常态化背景下湖北教育应对策略研究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5.服务全民终身学习的湖北教育体系研究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6.新时代教育优先发展战略的湖北实施策略研究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7.“全面脱贫”后湖北农村教育发展研究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8.大中小学心理健康风险预警与干预机制研究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9.公办与民办教育协调发展的制度体系研究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10.社会力量参与湖北教育治理的政策和实践研究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11.湖北省学前教育普惠发展研究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12.义务教育控辍保学长效机制研究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13.新时代智慧教育体系建设研究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14.“五育并举”的课程体系研究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15.新时代中小学教师队伍建设研究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16.中小学学科课程标准转化落地路径研究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17.普通中学考试评价制度改革研究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18.中小学线上线下教学有机融合方式研究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19.中小学劳动教育课程开发研究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20.中小学生身体素质提升路径研究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21.人工智能时代的未来学校发展研究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22.后普及时代普通高中多样化研究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23.家庭教育指导服务体系构建研究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24.新时代中等职业学校德育工作的路径及策略研究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25. 中等职业学校新课程标准转化研究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26.“1+X证书”制度实施路径研究 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27.职业院校专业群建设研究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28.湖北省职业院校质量保障体系研究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29.高职院校教学团队建设研究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30.职业院校劳动教育体系构建研究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31.校企深度融合的路径创新研究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32.类型教育视域下的高职教学管理模式创新研究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33.普及化阶段湖北高等教育多样化发展研究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34.高等学校破“五唯”实施路径研究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35.现代大学治理体系和治理能力现代化建设研究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36.湖北省本科教育高质量发展研究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37.“双一流”背景下湖北高校学科生态研究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38.省属本科高校教学改革发展的全国比较研究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39.湖北高等教育国际化研究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40.产学研融合背景下高校科技成果转化研究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41.高校贯彻落实国家总体安全观研究</w:t>
      </w:r>
    </w:p>
    <w:p>
      <w:pPr>
        <w:spacing w:line="5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42.构建高校思想政治工作体系研究</w:t>
      </w:r>
    </w:p>
    <w:p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54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before="100" w:beforeAutospacing="1" w:after="100" w:afterAutospacing="1" w:line="440" w:lineRule="exact"/>
        <w:ind w:left="2" w:leftChars="1"/>
        <w:jc w:val="center"/>
        <w:rPr>
          <w:rFonts w:hint="eastAsia" w:ascii="方正小标宋简体" w:hAnsi="黑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Cs/>
          <w:kern w:val="0"/>
          <w:sz w:val="44"/>
          <w:szCs w:val="44"/>
        </w:rPr>
        <w:t>湖北省教育科学规划课题组织申报办法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、2020年度省教育科学规划课题设重大招标课题、重点课题、一般课题和专项资助重点课题。本通知主要组织重点课题和一般课题的申报，本年度拟立项重点课题150项，一般课题350项左右，重大招标课题另行组织申报。课题申请人可依据《课题指南》提出的研究领域和方向选题，也可根据自身的研究基础和特长，自拟课题名称申报。《课题指南》所提供的选题内容一般不宜直接作为课题名称，申请人可做分解、细化，课题名称的表述应科学、严谨、规范、简明，一般不加副标题。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申请人应在《湖北省教育科学规划课题申请·评审书》（以下简称《课题申请·评审书》）封面上标明依据课题指南题号（不属指南范围的填“自选课题”）。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二、课题申请人必须具备承担课题研究的组织与实施工作的能力，不能从事实质性研究工作的，不得申报。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三、每个课题限报一名主持人。课题组成员的填报须征得本人同意并签名。《课题申请·评审书》纸质材料须有主持人签名，经主持人所在单位审核，签署明确意见，加盖公章并承担信誉保证。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四、课题主持人只能申报一个课题。课题组成员最多只能同时参加两个课题的研究。省教育科学规划课题尚未完成的主持人不得申报本年度课题。不支持一题多报。凡省教育厅高等学校教研教改项目、人文社会科学研究项目、科技项目已立项的课题，不得申报。</w:t>
      </w:r>
    </w:p>
    <w:p>
      <w:pPr>
        <w:spacing w:line="560" w:lineRule="exact"/>
        <w:ind w:left="2" w:leftChars="1" w:firstLine="627" w:firstLineChars="196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五、实行网上申报和分类评审。本年度课题全部实行网上申报，网上申报的网址为“湖北省教育科学研究院网”</w:t>
      </w:r>
      <w:r>
        <w:rPr>
          <w:rFonts w:ascii="仿宋_GB2312" w:hAnsi="宋体" w:eastAsia="仿宋_GB2312" w:cs="宋体"/>
          <w:kern w:val="0"/>
          <w:sz w:val="32"/>
          <w:szCs w:val="32"/>
        </w:rPr>
        <w:fldChar w:fldCharType="begin"/>
      </w:r>
      <w:r>
        <w:rPr>
          <w:rFonts w:ascii="仿宋_GB2312" w:hAnsi="宋体" w:eastAsia="仿宋_GB2312" w:cs="宋体"/>
          <w:kern w:val="0"/>
          <w:sz w:val="32"/>
          <w:szCs w:val="32"/>
        </w:rPr>
        <w:instrText xml:space="preserve"> HYPERLINK "</w:instrTex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instrText xml:space="preserve">http://www.hbies.cn/</w:instrText>
      </w:r>
      <w:r>
        <w:rPr>
          <w:rFonts w:ascii="仿宋_GB2312" w:hAnsi="宋体" w:eastAsia="仿宋_GB2312" w:cs="宋体"/>
          <w:kern w:val="0"/>
          <w:sz w:val="32"/>
          <w:szCs w:val="32"/>
        </w:rPr>
        <w:instrText xml:space="preserve">" </w:instrText>
      </w:r>
      <w:r>
        <w:rPr>
          <w:rFonts w:ascii="仿宋_GB2312" w:hAnsi="宋体" w:eastAsia="仿宋_GB2312" w:cs="宋体"/>
          <w:kern w:val="0"/>
          <w:sz w:val="32"/>
          <w:szCs w:val="32"/>
        </w:rPr>
        <w:fldChar w:fldCharType="separate"/>
      </w:r>
      <w:r>
        <w:rPr>
          <w:rStyle w:val="8"/>
          <w:rFonts w:hint="eastAsia" w:ascii="仿宋_GB2312" w:hAnsi="宋体" w:eastAsia="仿宋_GB2312" w:cs="宋体"/>
          <w:color w:val="auto"/>
          <w:kern w:val="0"/>
          <w:sz w:val="32"/>
          <w:szCs w:val="32"/>
        </w:rPr>
        <w:t>http://www.hbies.cn/</w:t>
      </w:r>
      <w:r>
        <w:rPr>
          <w:rFonts w:ascii="仿宋_GB2312" w:hAnsi="宋体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资格审查、学科组网上盲评、评审委员会会议实名评审的程序进行。中小学、幼儿园申报的课题实行单列单评，并给予一定比例的立项数量和经费资助倾斜。参与单列单评的单位为：全省普通中小学、幼儿园、中等职业学校；市州、县区教育局及教科院（所、室、中心）等。参与单列单评的单位申报课题填报所属系统时一律统一填写“中小学”。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六、各高校、厅直属单位的《课题申请·评审书》先报学校（单位）科研主管部门确认，再由各学校（单位）科研主管部门统一网上递交；市州所属单位及中小学、幼儿园的《课题申请·评审书》报各市州教科规划办，由市州教科规划办负责统一网上递交。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七、省教育科学规划课题实行信用管理制度，立项课题要求在2年内完成，决策性研究应在1年内完成，研究期限自课题批准立项之日起计算。课题单位及其主持人在课题研究期间要遵守各项承诺，履行约定义务，按期完成研究任务。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八、本年度省教育科学规划课题实行限额申报。原则上公办本科院校限报12项，民办本科院校、独立学院、高职高专院校限报10项，每县（市、区）限报8项，厅直属单位限报3项。各地、各单位要加强对本年度课题申报工作的组织与指导，严格审查申报资格、前期研究成果的真实性、课题组的研究实力和必备条件等，签署明确意见，保证课题申报质量。</w:t>
      </w:r>
    </w:p>
    <w:p>
      <w:pPr>
        <w:spacing w:line="560" w:lineRule="exact"/>
        <w:ind w:left="2" w:leftChars="1" w:firstLine="627" w:firstLineChars="196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九、网上申报时间从2020年8月14日起至8月24日止，请各市州、高等学校和厅直属单位教育科研管理部门务必在规定时间内，将符合申报条件的《课题申请·评审书》通过网络申报系统上传到 “湖北省教育科学规划课题申报评审平台”。因疫情影响，本年度不报送纸质材料，电子版文档由各高校（单位）汇总后，于8月26日前发送至指定邮箱。内容包括：（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）审查合格的</w:t>
      </w:r>
      <w:r>
        <w:rPr>
          <w:rFonts w:ascii="仿宋_GB2312" w:hAnsi="宋体" w:eastAsia="仿宋_GB2312" w:cs="宋体"/>
          <w:kern w:val="0"/>
          <w:sz w:val="32"/>
          <w:szCs w:val="32"/>
        </w:rPr>
        <w:t>PDF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版《课题申请·评审书》、</w:t>
      </w:r>
      <w:r>
        <w:rPr>
          <w:rFonts w:ascii="仿宋_GB2312" w:hAnsi="宋体" w:eastAsia="仿宋_GB2312" w:cs="宋体"/>
          <w:kern w:val="0"/>
          <w:sz w:val="32"/>
          <w:szCs w:val="32"/>
        </w:rPr>
        <w:t>PDF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版活页，分别建立文档。（</w:t>
      </w:r>
      <w:r>
        <w:rPr>
          <w:rFonts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）用统一表格制作的申报汇总表。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办公室咨询电话：027－87325759；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联系人：马海燕；</w:t>
      </w:r>
    </w:p>
    <w:p>
      <w:pPr>
        <w:spacing w:line="560" w:lineRule="exact"/>
        <w:ind w:left="2" w:leftChars="1" w:firstLine="627" w:firstLineChars="196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电子邮箱：</w:t>
      </w:r>
      <w:r>
        <w:rPr>
          <w:rFonts w:ascii="仿宋_GB2312" w:hAnsi="宋体" w:eastAsia="仿宋_GB2312" w:cs="宋体"/>
          <w:kern w:val="0"/>
          <w:sz w:val="32"/>
          <w:szCs w:val="32"/>
        </w:rPr>
        <w:fldChar w:fldCharType="begin"/>
      </w:r>
      <w:r>
        <w:rPr>
          <w:rFonts w:ascii="仿宋_GB2312" w:hAnsi="宋体" w:eastAsia="仿宋_GB2312" w:cs="宋体"/>
          <w:kern w:val="0"/>
          <w:sz w:val="32"/>
          <w:szCs w:val="32"/>
        </w:rPr>
        <w:instrText xml:space="preserve"> HYPERLINK "mailto:</w:instrTex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instrText xml:space="preserve">2554944033@qq.com</w:instrText>
      </w:r>
      <w:r>
        <w:rPr>
          <w:rFonts w:ascii="仿宋_GB2312" w:hAnsi="宋体" w:eastAsia="仿宋_GB2312" w:cs="宋体"/>
          <w:kern w:val="0"/>
          <w:sz w:val="32"/>
          <w:szCs w:val="32"/>
        </w:rPr>
        <w:instrText xml:space="preserve">" </w:instrText>
      </w:r>
      <w:r>
        <w:rPr>
          <w:rFonts w:ascii="仿宋_GB2312" w:hAnsi="宋体" w:eastAsia="仿宋_GB2312" w:cs="宋体"/>
          <w:kern w:val="0"/>
          <w:sz w:val="32"/>
          <w:szCs w:val="32"/>
        </w:rPr>
        <w:fldChar w:fldCharType="separate"/>
      </w:r>
      <w:r>
        <w:rPr>
          <w:rStyle w:val="8"/>
          <w:rFonts w:hint="eastAsia" w:ascii="仿宋_GB2312" w:hAnsi="宋体" w:eastAsia="仿宋_GB2312" w:cs="宋体"/>
          <w:kern w:val="0"/>
          <w:sz w:val="32"/>
          <w:szCs w:val="32"/>
        </w:rPr>
        <w:t>2554944033@qq.com</w:t>
      </w:r>
      <w:r>
        <w:rPr>
          <w:rFonts w:ascii="仿宋_GB2312" w:hAnsi="宋体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spacing w:line="560" w:lineRule="exact"/>
        <w:rPr>
          <w:rFonts w:hint="eastAsi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     </w:t>
      </w:r>
    </w:p>
    <w:p/>
    <w:p/>
    <w:p/>
    <w:p/>
    <w:p/>
    <w:p/>
    <w:p/>
    <w:p/>
    <w:p/>
    <w:p/>
    <w:p/>
    <w:p/>
    <w:p/>
    <w:p/>
    <w:p/>
    <w:p/>
    <w:p>
      <w:pPr>
        <w:ind w:firstLine="4960" w:firstLineChars="2067"/>
        <w:rPr>
          <w:rFonts w:hint="eastAsia" w:eastAsia="仿宋_GB2312"/>
          <w:b/>
          <w:sz w:val="24"/>
          <w:szCs w:val="20"/>
        </w:rPr>
      </w:pPr>
      <w:bookmarkStart w:id="0" w:name="_GoBack"/>
      <w:bookmarkEnd w:id="0"/>
      <w:r>
        <w:rPr>
          <w:rFonts w:ascii="楷体_GB2312" w:hAnsi="宋体" w:eastAsia="楷体_GB2312"/>
          <w:sz w:val="24"/>
          <w:szCs w:val="20"/>
        </w:rPr>
        <w:br w:type="page"/>
      </w:r>
    </w:p>
    <w:p>
      <w:pPr>
        <w:jc w:val="left"/>
        <w:outlineLvl w:val="0"/>
        <w:rPr>
          <w:rFonts w:hint="eastAsia" w:eastAsia="黑体"/>
          <w:sz w:val="30"/>
          <w:szCs w:val="20"/>
        </w:rPr>
      </w:pPr>
      <w:r>
        <w:rPr>
          <w:rFonts w:hint="eastAsia" w:eastAsia="黑体"/>
          <w:sz w:val="30"/>
          <w:szCs w:val="20"/>
        </w:rPr>
        <w:t xml:space="preserve">  </w:t>
      </w:r>
    </w:p>
    <w:p>
      <w:pPr>
        <w:ind w:right="778"/>
        <w:rPr>
          <w:rFonts w:hint="eastAsia" w:eastAsia="黑体"/>
          <w:szCs w:val="20"/>
        </w:rPr>
      </w:pPr>
    </w:p>
    <w:p>
      <w:pPr>
        <w:ind w:right="778"/>
        <w:rPr>
          <w:rFonts w:hint="eastAsia" w:eastAsia="黑体"/>
          <w:szCs w:val="20"/>
        </w:rPr>
      </w:pPr>
    </w:p>
    <w:p>
      <w:pPr>
        <w:jc w:val="left"/>
        <w:outlineLvl w:val="0"/>
        <w:rPr>
          <w:rFonts w:eastAsia="黑体"/>
          <w:sz w:val="30"/>
          <w:szCs w:val="20"/>
        </w:rPr>
      </w:pPr>
      <w:r>
        <w:rPr>
          <w:rFonts w:hint="eastAsia" w:eastAsia="黑体"/>
          <w:sz w:val="30"/>
          <w:szCs w:val="20"/>
        </w:rPr>
        <w:t xml:space="preserve">   </w:t>
      </w:r>
    </w:p>
    <w:p>
      <w:pPr>
        <w:ind w:firstLine="5600" w:firstLineChars="2000"/>
        <w:jc w:val="left"/>
        <w:outlineLvl w:val="0"/>
        <w:rPr>
          <w:rFonts w:hint="eastAsia" w:eastAsia="黑体"/>
          <w:szCs w:val="20"/>
        </w:rPr>
      </w:pPr>
      <w:r>
        <w:rPr>
          <w:sz w:val="28"/>
          <w:szCs w:val="20"/>
        </w:rPr>
        <w:br w:type="page"/>
      </w:r>
      <w:r>
        <w:rPr>
          <w:sz w:val="28"/>
          <w:szCs w:val="20"/>
        </w:rPr>
        <w:br w:type="page"/>
      </w:r>
      <w:r>
        <w:rPr>
          <w:rFonts w:hint="eastAsia" w:eastAsia="黑体"/>
          <w:sz w:val="30"/>
          <w:szCs w:val="20"/>
        </w:rPr>
        <w:t xml:space="preserve">  </w:t>
      </w:r>
      <w:r>
        <w:rPr>
          <w:rFonts w:eastAsia="黑体"/>
          <w:sz w:val="30"/>
          <w:szCs w:val="20"/>
        </w:rPr>
        <w:t xml:space="preserve"> </w:t>
      </w:r>
    </w:p>
    <w:p>
      <w:pPr>
        <w:ind w:firstLine="300"/>
        <w:jc w:val="left"/>
        <w:rPr>
          <w:rFonts w:eastAsia="黑体"/>
          <w:sz w:val="30"/>
          <w:szCs w:val="20"/>
        </w:rPr>
      </w:pPr>
      <w:r>
        <w:rPr>
          <w:rFonts w:eastAsia="黑体"/>
          <w:sz w:val="30"/>
          <w:szCs w:val="20"/>
        </w:rPr>
        <w:br w:type="page"/>
      </w:r>
    </w:p>
    <w:p>
      <w:pPr>
        <w:spacing w:line="0" w:lineRule="atLeast"/>
        <w:rPr>
          <w:rFonts w:hint="eastAsia" w:ascii="宋体" w:eastAsia="黑体"/>
          <w:sz w:val="6"/>
          <w:szCs w:val="20"/>
        </w:rPr>
      </w:pPr>
    </w:p>
    <w:p>
      <w:pPr>
        <w:spacing w:line="0" w:lineRule="atLeast"/>
        <w:rPr>
          <w:rFonts w:hint="eastAsia" w:ascii="宋体" w:eastAsia="黑体"/>
          <w:sz w:val="6"/>
          <w:szCs w:val="20"/>
        </w:rPr>
      </w:pPr>
    </w:p>
    <w:p>
      <w:pPr>
        <w:spacing w:line="0" w:lineRule="atLeast"/>
        <w:rPr>
          <w:rFonts w:hint="eastAsia" w:ascii="宋体" w:eastAsia="黑体"/>
          <w:sz w:val="6"/>
          <w:szCs w:val="20"/>
        </w:rPr>
      </w:pPr>
    </w:p>
    <w:p>
      <w:pPr>
        <w:rPr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文鼎大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15C0B"/>
    <w:rsid w:val="341E213C"/>
    <w:rsid w:val="63D1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iPriority w:val="0"/>
    <w:pPr>
      <w:widowControl w:val="0"/>
      <w:adjustRightInd w:val="0"/>
      <w:jc w:val="left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footer"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4">
    <w:name w:val="header"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character" w:styleId="7">
    <w:name w:val="page number"/>
    <w:uiPriority w:val="0"/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2020-07-10T03:26:00Z</dcterms:created>
  <dc:creator>晓儿</dc:creator>
  <cp:lastModifiedBy>晓儿</cp:lastModifiedBy>
  <dcterms:modified xsi:type="dcterms:W3CDTF">2020-07-10T03:37:34Z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